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04"/>
        <w:gridCol w:w="1147"/>
        <w:gridCol w:w="900"/>
        <w:gridCol w:w="1152"/>
        <w:gridCol w:w="1408"/>
        <w:gridCol w:w="769"/>
        <w:gridCol w:w="885"/>
        <w:gridCol w:w="1272"/>
        <w:gridCol w:w="1162"/>
        <w:gridCol w:w="1406"/>
        <w:gridCol w:w="3067"/>
      </w:tblGrid>
      <w:tr>
        <w:tblPrEx>
          <w:shd w:val="clear" w:color="auto" w:fill="ced7e7"/>
        </w:tblPrEx>
        <w:trPr>
          <w:trHeight w:val="209" w:hRule="atLeast"/>
        </w:trPr>
        <w:tc>
          <w:tcPr>
            <w:tcW w:type="dxa" w:w="8937"/>
            <w:gridSpan w:val="8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/>
                <w:b w:val="1"/>
                <w:bCs w:val="1"/>
                <w:color w:val="548dd4"/>
                <w:sz w:val="18"/>
                <w:szCs w:val="18"/>
                <w:u w:color="548dd4"/>
                <w:rtl w:val="0"/>
                <w:lang w:val="en-US"/>
              </w:rPr>
              <w:t>C</w:t>
            </w:r>
            <w:r>
              <w:rPr>
                <w:rFonts w:ascii="Arial" w:hAnsi="Arial" w:hint="default"/>
                <w:b w:val="1"/>
                <w:bCs w:val="1"/>
                <w:color w:val="548dd4"/>
                <w:sz w:val="18"/>
                <w:szCs w:val="18"/>
                <w:u w:color="548dd4"/>
                <w:rtl w:val="0"/>
                <w:lang w:val="ru-RU"/>
              </w:rPr>
              <w:t>ведения из документа об образовании</w:t>
            </w:r>
          </w:p>
        </w:tc>
        <w:tc>
          <w:tcPr>
            <w:tcW w:type="dxa" w:w="5634"/>
            <w:gridSpan w:val="3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/>
                <w:b w:val="1"/>
                <w:bCs w:val="1"/>
                <w:color w:val="548dd4"/>
                <w:sz w:val="18"/>
                <w:szCs w:val="18"/>
                <w:u w:color="548dd4"/>
                <w:rtl w:val="0"/>
                <w:lang w:val="en-US"/>
              </w:rPr>
              <w:t>C</w:t>
            </w:r>
            <w:r>
              <w:rPr>
                <w:rFonts w:ascii="Arial" w:hAnsi="Arial" w:hint="default"/>
                <w:b w:val="1"/>
                <w:bCs w:val="1"/>
                <w:color w:val="548dd4"/>
                <w:sz w:val="18"/>
                <w:szCs w:val="18"/>
                <w:u w:color="548dd4"/>
                <w:rtl w:val="0"/>
                <w:lang w:val="ru-RU"/>
              </w:rPr>
              <w:t>ведения из сертификата специалиста</w:t>
            </w:r>
          </w:p>
        </w:tc>
      </w:tr>
      <w:tr>
        <w:tblPrEx>
          <w:shd w:val="clear" w:color="auto" w:fill="ced7e7"/>
        </w:tblPrEx>
        <w:trPr>
          <w:trHeight w:val="809" w:hRule="atLeast"/>
        </w:trPr>
        <w:tc>
          <w:tcPr>
            <w:tcW w:type="dxa" w:w="1404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 w:hint="default"/>
                <w:b w:val="1"/>
                <w:bCs w:val="1"/>
                <w:color w:val="548dd4"/>
                <w:sz w:val="18"/>
                <w:szCs w:val="18"/>
                <w:u w:color="548dd4"/>
                <w:rtl w:val="0"/>
                <w:lang w:val="ru-RU"/>
              </w:rPr>
              <w:t>Ф</w:t>
            </w:r>
            <w:r>
              <w:rPr>
                <w:rFonts w:ascii="Arial" w:hAnsi="Arial"/>
                <w:b w:val="1"/>
                <w:bCs w:val="1"/>
                <w:color w:val="548dd4"/>
                <w:sz w:val="18"/>
                <w:szCs w:val="18"/>
                <w:u w:color="548dd4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b w:val="1"/>
                <w:bCs w:val="1"/>
                <w:color w:val="548dd4"/>
                <w:sz w:val="18"/>
                <w:szCs w:val="18"/>
                <w:u w:color="548dd4"/>
                <w:rtl w:val="0"/>
                <w:lang w:val="ru-RU"/>
              </w:rPr>
              <w:t>И</w:t>
            </w:r>
            <w:r>
              <w:rPr>
                <w:rFonts w:ascii="Arial" w:hAnsi="Arial"/>
                <w:b w:val="1"/>
                <w:bCs w:val="1"/>
                <w:color w:val="548dd4"/>
                <w:sz w:val="18"/>
                <w:szCs w:val="18"/>
                <w:u w:color="548dd4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b w:val="1"/>
                <w:bCs w:val="1"/>
                <w:color w:val="548dd4"/>
                <w:sz w:val="18"/>
                <w:szCs w:val="18"/>
                <w:u w:color="548dd4"/>
                <w:rtl w:val="0"/>
                <w:lang w:val="ru-RU"/>
              </w:rPr>
              <w:t>О</w:t>
            </w:r>
            <w:r>
              <w:rPr>
                <w:rFonts w:ascii="Arial" w:hAnsi="Arial"/>
                <w:b w:val="1"/>
                <w:bCs w:val="1"/>
                <w:color w:val="548dd4"/>
                <w:sz w:val="18"/>
                <w:szCs w:val="18"/>
                <w:u w:color="548dd4"/>
                <w:rtl w:val="0"/>
                <w:lang w:val="ru-RU"/>
              </w:rPr>
              <w:t>.</w:t>
            </w:r>
          </w:p>
        </w:tc>
        <w:tc>
          <w:tcPr>
            <w:tcW w:type="dxa" w:w="1147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 w:hint="default"/>
                <w:b w:val="1"/>
                <w:bCs w:val="1"/>
                <w:color w:val="548dd4"/>
                <w:sz w:val="18"/>
                <w:szCs w:val="18"/>
                <w:u w:color="548dd4"/>
                <w:rtl w:val="0"/>
                <w:lang w:val="ru-RU"/>
              </w:rPr>
              <w:t>Должность</w:t>
            </w:r>
          </w:p>
        </w:tc>
        <w:tc>
          <w:tcPr>
            <w:tcW w:type="dxa" w:w="899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 w:hint="default"/>
                <w:b w:val="1"/>
                <w:bCs w:val="1"/>
                <w:color w:val="548dd4"/>
                <w:sz w:val="18"/>
                <w:szCs w:val="18"/>
                <w:u w:color="548dd4"/>
                <w:rtl w:val="0"/>
                <w:lang w:val="ru-RU"/>
              </w:rPr>
              <w:t>Категория</w:t>
            </w:r>
          </w:p>
        </w:tc>
        <w:tc>
          <w:tcPr>
            <w:tcW w:type="dxa" w:w="1151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 w:hint="default"/>
                <w:b w:val="1"/>
                <w:bCs w:val="1"/>
                <w:color w:val="548dd4"/>
                <w:sz w:val="18"/>
                <w:szCs w:val="18"/>
                <w:u w:color="548dd4"/>
                <w:rtl w:val="0"/>
                <w:lang w:val="ru-RU"/>
              </w:rPr>
              <w:t>Уровень образования   </w:t>
            </w:r>
          </w:p>
        </w:tc>
        <w:tc>
          <w:tcPr>
            <w:tcW w:type="dxa" w:w="1408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 w:hint="default"/>
                <w:b w:val="1"/>
                <w:bCs w:val="1"/>
                <w:color w:val="548dd4"/>
                <w:sz w:val="18"/>
                <w:szCs w:val="18"/>
                <w:u w:color="548dd4"/>
                <w:rtl w:val="0"/>
                <w:lang w:val="ru-RU"/>
              </w:rPr>
              <w:t>Организация</w:t>
            </w:r>
            <w:r>
              <w:rPr>
                <w:rFonts w:ascii="Arial" w:hAnsi="Arial"/>
                <w:b w:val="1"/>
                <w:bCs w:val="1"/>
                <w:color w:val="548dd4"/>
                <w:sz w:val="18"/>
                <w:szCs w:val="18"/>
                <w:u w:color="548dd4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color w:val="548dd4"/>
                <w:sz w:val="18"/>
                <w:szCs w:val="18"/>
                <w:u w:color="548dd4"/>
                <w:rtl w:val="0"/>
                <w:lang w:val="ru-RU"/>
              </w:rPr>
              <w:t>выдавшая документ об образовании </w:t>
            </w:r>
          </w:p>
        </w:tc>
        <w:tc>
          <w:tcPr>
            <w:tcW w:type="dxa" w:w="768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 w:hint="default"/>
                <w:b w:val="1"/>
                <w:bCs w:val="1"/>
                <w:color w:val="548dd4"/>
                <w:sz w:val="18"/>
                <w:szCs w:val="18"/>
                <w:u w:color="548dd4"/>
                <w:rtl w:val="0"/>
                <w:lang w:val="ru-RU"/>
              </w:rPr>
              <w:t>Год</w:t>
            </w:r>
            <w:r>
              <w:rPr>
                <w:rFonts w:ascii="Arial" w:hAnsi="Arial"/>
                <w:b w:val="1"/>
                <w:bCs w:val="1"/>
                <w:color w:val="548dd4"/>
                <w:sz w:val="18"/>
                <w:szCs w:val="18"/>
                <w:u w:color="548dd4"/>
                <w:rtl w:val="0"/>
                <w:lang w:val="en-US"/>
              </w:rPr>
              <w:t xml:space="preserve"> </w:t>
            </w:r>
            <w:r>
              <w:rPr>
                <w:rFonts w:ascii="Arial" w:hAnsi="Arial" w:hint="default"/>
                <w:b w:val="1"/>
                <w:bCs w:val="1"/>
                <w:color w:val="548dd4"/>
                <w:sz w:val="18"/>
                <w:szCs w:val="18"/>
                <w:u w:color="548dd4"/>
                <w:rtl w:val="0"/>
                <w:lang w:val="ru-RU"/>
              </w:rPr>
              <w:t>выдачи</w:t>
            </w:r>
          </w:p>
        </w:tc>
        <w:tc>
          <w:tcPr>
            <w:tcW w:type="dxa" w:w="885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 w:hint="default"/>
                <w:b w:val="1"/>
                <w:bCs w:val="1"/>
                <w:color w:val="548dd4"/>
                <w:sz w:val="18"/>
                <w:szCs w:val="18"/>
                <w:u w:color="548dd4"/>
                <w:rtl w:val="0"/>
                <w:lang w:val="ru-RU"/>
              </w:rPr>
              <w:t>Специальность</w:t>
            </w:r>
          </w:p>
        </w:tc>
        <w:tc>
          <w:tcPr>
            <w:tcW w:type="dxa" w:w="1272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 w:hint="default"/>
                <w:b w:val="1"/>
                <w:bCs w:val="1"/>
                <w:color w:val="548dd4"/>
                <w:sz w:val="18"/>
                <w:szCs w:val="18"/>
                <w:u w:color="548dd4"/>
                <w:rtl w:val="0"/>
                <w:lang w:val="ru-RU"/>
              </w:rPr>
              <w:t>Квалификация</w:t>
            </w:r>
          </w:p>
        </w:tc>
        <w:tc>
          <w:tcPr>
            <w:tcW w:type="dxa" w:w="1161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 w:hint="default"/>
                <w:b w:val="1"/>
                <w:bCs w:val="1"/>
                <w:color w:val="548dd4"/>
                <w:sz w:val="18"/>
                <w:szCs w:val="18"/>
                <w:u w:color="548dd4"/>
                <w:rtl w:val="0"/>
                <w:lang w:val="ru-RU"/>
              </w:rPr>
              <w:t>Год Выдачи</w:t>
            </w:r>
            <w:r>
              <w:rPr>
                <w:rFonts w:ascii="Arial" w:hAnsi="Arial"/>
                <w:b w:val="1"/>
                <w:bCs w:val="1"/>
                <w:color w:val="548dd4"/>
                <w:sz w:val="18"/>
                <w:szCs w:val="18"/>
                <w:u w:color="548dd4"/>
                <w:rtl w:val="0"/>
                <w:lang w:val="en-US"/>
              </w:rPr>
              <w:t xml:space="preserve"> </w:t>
            </w:r>
            <w:r>
              <w:rPr>
                <w:rFonts w:ascii="Arial" w:hAnsi="Arial" w:hint="default"/>
                <w:b w:val="1"/>
                <w:bCs w:val="1"/>
                <w:color w:val="548dd4"/>
                <w:sz w:val="18"/>
                <w:szCs w:val="18"/>
                <w:u w:color="548dd4"/>
                <w:rtl w:val="0"/>
                <w:lang w:val="ru-RU"/>
              </w:rPr>
              <w:t>сертификата</w:t>
            </w:r>
          </w:p>
        </w:tc>
        <w:tc>
          <w:tcPr>
            <w:tcW w:type="dxa" w:w="1405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 w:hint="default"/>
                <w:b w:val="1"/>
                <w:bCs w:val="1"/>
                <w:color w:val="548dd4"/>
                <w:sz w:val="18"/>
                <w:szCs w:val="18"/>
                <w:u w:color="548dd4"/>
                <w:rtl w:val="0"/>
                <w:lang w:val="ru-RU"/>
              </w:rPr>
              <w:t>Специальность</w:t>
            </w:r>
          </w:p>
        </w:tc>
        <w:tc>
          <w:tcPr>
            <w:tcW w:type="dxa" w:w="3066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 w:hint="default"/>
                <w:b w:val="1"/>
                <w:bCs w:val="1"/>
                <w:color w:val="548dd4"/>
                <w:sz w:val="18"/>
                <w:szCs w:val="18"/>
                <w:u w:color="548dd4"/>
                <w:rtl w:val="0"/>
                <w:lang w:val="en-US"/>
              </w:rPr>
              <w:t>Дополнительное образование</w:t>
            </w:r>
            <w:r>
              <w:rPr>
                <w:rFonts w:ascii="Arial" w:cs="Arial" w:hAnsi="Arial" w:eastAsia="Arial"/>
                <w:b w:val="1"/>
                <w:bCs w:val="1"/>
                <w:color w:val="548dd4"/>
                <w:sz w:val="18"/>
                <w:szCs w:val="18"/>
                <w:u w:color="548dd4"/>
              </w:rPr>
            </w:r>
          </w:p>
        </w:tc>
      </w:tr>
      <w:tr>
        <w:tblPrEx>
          <w:shd w:val="clear" w:color="auto" w:fill="ced7e7"/>
        </w:tblPrEx>
        <w:trPr>
          <w:trHeight w:val="8409" w:hRule="atLeast"/>
        </w:trPr>
        <w:tc>
          <w:tcPr>
            <w:tcW w:type="dxa" w:w="1404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Васильева Юлия Вадимовна</w:t>
            </w:r>
            <w:r>
              <w:rPr>
                <w:rFonts w:ascii="Arial" w:cs="Arial" w:hAnsi="Arial" w:eastAsia="Arial"/>
                <w:color w:val="548dd4"/>
                <w:sz w:val="18"/>
                <w:szCs w:val="18"/>
                <w:u w:color="548dd4"/>
              </w:rPr>
            </w:r>
          </w:p>
        </w:tc>
        <w:tc>
          <w:tcPr>
            <w:tcW w:type="dxa" w:w="1147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Заведующий отделением Врач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стоматолог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хирург</w:t>
            </w:r>
          </w:p>
        </w:tc>
        <w:tc>
          <w:tcPr>
            <w:tcW w:type="dxa" w:w="899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Высшая</w:t>
            </w:r>
          </w:p>
        </w:tc>
        <w:tc>
          <w:tcPr>
            <w:tcW w:type="dxa" w:w="1151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высшее</w:t>
            </w:r>
          </w:p>
        </w:tc>
        <w:tc>
          <w:tcPr>
            <w:tcW w:type="dxa" w:w="1408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ГБОУ ВПО ПСПбГМУ им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И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П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Павлова Минздрава России</w:t>
            </w:r>
          </w:p>
        </w:tc>
        <w:tc>
          <w:tcPr>
            <w:tcW w:type="dxa" w:w="768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>2007</w:t>
            </w:r>
            <w:r>
              <w:rPr>
                <w:rFonts w:ascii="Arial" w:cs="Arial" w:hAnsi="Arial" w:eastAsia="Arial"/>
                <w:color w:val="548dd4"/>
                <w:sz w:val="18"/>
                <w:szCs w:val="18"/>
                <w:u w:color="548dd4"/>
              </w:rPr>
            </w:r>
          </w:p>
        </w:tc>
        <w:tc>
          <w:tcPr>
            <w:tcW w:type="dxa" w:w="885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Стоматология</w:t>
            </w:r>
            <w:r>
              <w:rPr>
                <w:rFonts w:ascii="Arial" w:cs="Arial" w:hAnsi="Arial" w:eastAsia="Arial"/>
                <w:color w:val="548dd4"/>
                <w:sz w:val="18"/>
                <w:szCs w:val="18"/>
                <w:u w:color="548dd4"/>
              </w:rPr>
            </w:r>
          </w:p>
        </w:tc>
        <w:tc>
          <w:tcPr>
            <w:tcW w:type="dxa" w:w="1272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Врач</w:t>
            </w:r>
          </w:p>
        </w:tc>
        <w:tc>
          <w:tcPr>
            <w:tcW w:type="dxa" w:w="1161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>2018</w:t>
            </w:r>
          </w:p>
        </w:tc>
        <w:tc>
          <w:tcPr>
            <w:tcW w:type="dxa" w:w="1405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 xml:space="preserve">Стоматология хирургическая </w:t>
            </w:r>
          </w:p>
        </w:tc>
        <w:tc>
          <w:tcPr>
            <w:tcW w:type="dxa" w:w="3066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5" w:after="15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 xml:space="preserve">  V 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Международный конгресс «Функциональная и эстетическая реабилитация в стоматологии»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 xml:space="preserve">,  II  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ежегодная петербургская ассамблея стоматологов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 xml:space="preserve">, LXVII  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 xml:space="preserve">научно 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 xml:space="preserve">- 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практическая конференция «Актуальные вопросы экспериментальной и клинической медицины»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 xml:space="preserve">, 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«Дентальная имплантология»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 xml:space="preserve">, 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«Как избежать возможных ошибок при протезировании на имплантатах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 xml:space="preserve">? 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Методики и анализ»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 xml:space="preserve">, 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«Комплексный подход к протезированию на имплантатах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 xml:space="preserve">. 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Эстетические и функциональные преимущества дентальных имплантатов»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 xml:space="preserve">, 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«Педагогика и психология высшей школы»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 xml:space="preserve">, 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«Основы ВИЧ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-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медицины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 xml:space="preserve">. 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Вопросы оказания специализированной медицинской помощи при ВИЧ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-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инфекции и ВИЧ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-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ассоциированных заболеваниях»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 xml:space="preserve">, 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«Базовый курс для хирургов и ортопедов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 xml:space="preserve">. 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Теория и практика»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 xml:space="preserve">, 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«Практикум по пластике мягких тканей десны и хирургии пародонта»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 xml:space="preserve">, 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«Экспертиза временной нетрудоспособности»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 xml:space="preserve">, 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«Основы экспертизы качества медицинской помощи»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 xml:space="preserve">, 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«Хирургическое лечение одиночных и множественных рецензий десны в области зубов и имплантатов»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 xml:space="preserve">, 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«Периимплантиты»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 xml:space="preserve">, 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«Подбор материалов в зависимости от клинической ситуации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 xml:space="preserve">. 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Клинический опыт применение по примерам работ»</w:t>
            </w:r>
          </w:p>
        </w:tc>
      </w:tr>
      <w:tr>
        <w:tblPrEx>
          <w:shd w:val="clear" w:color="auto" w:fill="ced7e7"/>
        </w:tblPrEx>
        <w:trPr>
          <w:trHeight w:val="3809" w:hRule="atLeast"/>
        </w:trPr>
        <w:tc>
          <w:tcPr>
            <w:tcW w:type="dxa" w:w="1404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Григорьев Григорий Игоревич</w:t>
            </w:r>
            <w:r>
              <w:rPr>
                <w:rFonts w:ascii="Arial" w:cs="Arial" w:hAnsi="Arial" w:eastAsia="Arial"/>
                <w:color w:val="548dd4"/>
                <w:sz w:val="18"/>
                <w:szCs w:val="18"/>
                <w:u w:color="548dd4"/>
              </w:rPr>
            </w:r>
          </w:p>
        </w:tc>
        <w:tc>
          <w:tcPr>
            <w:tcW w:type="dxa" w:w="1147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Врач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стоматолог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хирург</w:t>
            </w:r>
          </w:p>
        </w:tc>
        <w:tc>
          <w:tcPr>
            <w:tcW w:type="dxa" w:w="899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1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высшее</w:t>
            </w:r>
          </w:p>
        </w:tc>
        <w:tc>
          <w:tcPr>
            <w:tcW w:type="dxa" w:w="1408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ГБОУ ВПО ПСПбГМУ им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И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П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Павлова Минздрава России</w:t>
            </w:r>
          </w:p>
        </w:tc>
        <w:tc>
          <w:tcPr>
            <w:tcW w:type="dxa" w:w="768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>2014</w:t>
            </w:r>
          </w:p>
        </w:tc>
        <w:tc>
          <w:tcPr>
            <w:tcW w:type="dxa" w:w="885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Стоматология</w:t>
            </w:r>
            <w:r>
              <w:rPr>
                <w:rFonts w:ascii="Arial" w:cs="Arial" w:hAnsi="Arial" w:eastAsia="Arial"/>
                <w:color w:val="548dd4"/>
                <w:sz w:val="18"/>
                <w:szCs w:val="18"/>
                <w:u w:color="548dd4"/>
              </w:rPr>
            </w:r>
          </w:p>
        </w:tc>
        <w:tc>
          <w:tcPr>
            <w:tcW w:type="dxa" w:w="1272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Врач</w:t>
            </w:r>
          </w:p>
        </w:tc>
        <w:tc>
          <w:tcPr>
            <w:tcW w:type="dxa" w:w="1161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>2016</w:t>
            </w:r>
          </w:p>
        </w:tc>
        <w:tc>
          <w:tcPr>
            <w:tcW w:type="dxa" w:w="1405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Стоматология хирургическая</w:t>
            </w:r>
          </w:p>
        </w:tc>
        <w:tc>
          <w:tcPr>
            <w:tcW w:type="dxa" w:w="3066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5" w:after="15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«Неотложные состояния в кресле стоматолога»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 xml:space="preserve">, IV  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 xml:space="preserve">Межрегиональная конференция «Пикассо» «Актуальные вопросы применения 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3D-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технологий в современной стоматологической практике»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 xml:space="preserve">, V  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 xml:space="preserve">Межрегиональная конференция «Пикассо» «Актуальные вопросы применения 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3D-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технологий в современной стоматологической практике»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 xml:space="preserve">, 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 xml:space="preserve">«Продвинутый курс 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3D-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 xml:space="preserve">реконструкция альвеолярного отростка 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(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Доктор Ахим В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 xml:space="preserve">. 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Шмидт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)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»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 xml:space="preserve">, 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 xml:space="preserve">«Имплантация 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Intermediate course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»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 xml:space="preserve">, 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«Слагаемые успеха при протезировании на имплантатах»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 xml:space="preserve">, 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«Экспертиза временной нетрудоспособности»</w:t>
            </w:r>
          </w:p>
        </w:tc>
      </w:tr>
      <w:tr>
        <w:tblPrEx>
          <w:shd w:val="clear" w:color="auto" w:fill="ced7e7"/>
        </w:tblPrEx>
        <w:trPr>
          <w:trHeight w:val="8009" w:hRule="atLeast"/>
        </w:trPr>
        <w:tc>
          <w:tcPr>
            <w:tcW w:type="dxa" w:w="1404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Кравцова Александра Игоревна</w:t>
            </w:r>
            <w:r>
              <w:rPr>
                <w:rFonts w:ascii="Arial" w:cs="Arial" w:hAnsi="Arial" w:eastAsia="Arial"/>
                <w:color w:val="548dd4"/>
                <w:sz w:val="18"/>
                <w:szCs w:val="18"/>
                <w:u w:color="548dd4"/>
              </w:rPr>
            </w:r>
          </w:p>
        </w:tc>
        <w:tc>
          <w:tcPr>
            <w:tcW w:type="dxa" w:w="1147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Врач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стоматолог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хирург</w:t>
            </w:r>
          </w:p>
        </w:tc>
        <w:tc>
          <w:tcPr>
            <w:tcW w:type="dxa" w:w="899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1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высшее</w:t>
            </w:r>
          </w:p>
        </w:tc>
        <w:tc>
          <w:tcPr>
            <w:tcW w:type="dxa" w:w="1408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Омская Государственная медицинская академия</w:t>
            </w:r>
          </w:p>
        </w:tc>
        <w:tc>
          <w:tcPr>
            <w:tcW w:type="dxa" w:w="768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>2010</w:t>
            </w:r>
          </w:p>
        </w:tc>
        <w:tc>
          <w:tcPr>
            <w:tcW w:type="dxa" w:w="885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Стоматология</w:t>
            </w:r>
            <w:r>
              <w:rPr>
                <w:rFonts w:ascii="Arial" w:cs="Arial" w:hAnsi="Arial" w:eastAsia="Arial"/>
                <w:color w:val="548dd4"/>
                <w:sz w:val="18"/>
                <w:szCs w:val="18"/>
                <w:u w:color="548dd4"/>
              </w:rPr>
            </w:r>
          </w:p>
        </w:tc>
        <w:tc>
          <w:tcPr>
            <w:tcW w:type="dxa" w:w="1272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Врач</w:t>
            </w:r>
          </w:p>
        </w:tc>
        <w:tc>
          <w:tcPr>
            <w:tcW w:type="dxa" w:w="1161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>2017</w:t>
            </w:r>
          </w:p>
        </w:tc>
        <w:tc>
          <w:tcPr>
            <w:tcW w:type="dxa" w:w="1405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Стоматология хирургическая</w:t>
            </w:r>
          </w:p>
        </w:tc>
        <w:tc>
          <w:tcPr>
            <w:tcW w:type="dxa" w:w="3066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>"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Синус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лифтинг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>", "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Современные методы комплексного лечения заболеваний тканей пародонта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>", "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Зубная имплантология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>", "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Постэкстракционные и постпародонтальные дефекты и Имплантация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Решения в эпоху регенеративной хирургии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>. (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Дудин М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А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>.)", "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 xml:space="preserve">Основные принципы работы с дентальными имплантатами 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Бесяков В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Р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 xml:space="preserve">., 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Цветков В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С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>.)", "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 xml:space="preserve">Современные технологии в пластической хирургии полости рта 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 xml:space="preserve">: 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остео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 xml:space="preserve">- 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и вестибулопластика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>", "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основные современные концепции хирургического пародонтального лечения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Д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р Анна Парицки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>", "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Клиническое применение остеопластических материалов в практике хирурга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стоматолога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>", "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Биотехнические и клинические аспекты дентальной имп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лантации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Аспекты дентальной имплантации на базе системы «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en-US"/>
              </w:rPr>
              <w:t>Simpl Swiss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»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Парскевич В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Л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>.)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»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«Методы работы с твердыми и мягкими тканями в имплантологии и челюстно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лицевой хирургии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>. (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Практический курс на трупах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>)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»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 xml:space="preserve">,  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en-US"/>
              </w:rPr>
              <w:t xml:space="preserve">III 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Балтийская конференция по хирургической стоматологии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«Протокол ведения больных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 xml:space="preserve">: 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болезни периапикальных тканей»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«Командный подход в дентальной имплантации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Хирургический и ортопедический взгляд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ошибки и осложнения лечения»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609" w:hRule="atLeast"/>
        </w:trPr>
        <w:tc>
          <w:tcPr>
            <w:tcW w:type="dxa" w:w="1404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Максимов Николай Петрович</w:t>
            </w:r>
            <w:r>
              <w:rPr>
                <w:rFonts w:ascii="Arial" w:cs="Arial" w:hAnsi="Arial" w:eastAsia="Arial"/>
                <w:color w:val="548dd4"/>
                <w:sz w:val="18"/>
                <w:szCs w:val="18"/>
                <w:u w:color="548dd4"/>
              </w:rPr>
            </w:r>
          </w:p>
        </w:tc>
        <w:tc>
          <w:tcPr>
            <w:tcW w:type="dxa" w:w="1147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Врач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стоматолог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 xml:space="preserve">- 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хирург</w:t>
            </w:r>
          </w:p>
        </w:tc>
        <w:tc>
          <w:tcPr>
            <w:tcW w:type="dxa" w:w="899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Высшая</w:t>
            </w:r>
          </w:p>
        </w:tc>
        <w:tc>
          <w:tcPr>
            <w:tcW w:type="dxa" w:w="1151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высшее</w:t>
            </w:r>
          </w:p>
        </w:tc>
        <w:tc>
          <w:tcPr>
            <w:tcW w:type="dxa" w:w="1408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Иркутский Государственный медицинский институт</w:t>
            </w:r>
          </w:p>
        </w:tc>
        <w:tc>
          <w:tcPr>
            <w:tcW w:type="dxa" w:w="768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>1964</w:t>
            </w:r>
          </w:p>
        </w:tc>
        <w:tc>
          <w:tcPr>
            <w:tcW w:type="dxa" w:w="885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Стоматология</w:t>
            </w:r>
            <w:r>
              <w:rPr>
                <w:rFonts w:ascii="Arial" w:cs="Arial" w:hAnsi="Arial" w:eastAsia="Arial"/>
                <w:color w:val="548dd4"/>
                <w:sz w:val="18"/>
                <w:szCs w:val="18"/>
                <w:u w:color="548dd4"/>
              </w:rPr>
            </w:r>
          </w:p>
        </w:tc>
        <w:tc>
          <w:tcPr>
            <w:tcW w:type="dxa" w:w="1272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Врач</w:t>
            </w:r>
          </w:p>
        </w:tc>
        <w:tc>
          <w:tcPr>
            <w:tcW w:type="dxa" w:w="1161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>2015</w:t>
            </w:r>
          </w:p>
        </w:tc>
        <w:tc>
          <w:tcPr>
            <w:tcW w:type="dxa" w:w="1405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Стоматология хирургическая</w:t>
            </w:r>
          </w:p>
        </w:tc>
        <w:tc>
          <w:tcPr>
            <w:tcW w:type="dxa" w:w="3066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5" w:after="15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«Актуальные вопросы хирургической стоматологии и имплантологии»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, "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 xml:space="preserve">Обучение по работе с программами 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 xml:space="preserve">Vatech Ez3D2009 /Planmeca Romexis Viewer 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 xml:space="preserve">в сети независимых рентгендиагностических центров 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"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 xml:space="preserve">Пикассо 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"</w:t>
            </w:r>
          </w:p>
        </w:tc>
      </w:tr>
      <w:tr>
        <w:tblPrEx>
          <w:shd w:val="clear" w:color="auto" w:fill="ced7e7"/>
        </w:tblPrEx>
        <w:trPr>
          <w:trHeight w:val="3809" w:hRule="atLeast"/>
        </w:trPr>
        <w:tc>
          <w:tcPr>
            <w:tcW w:type="dxa" w:w="1404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Творогова Людмила Викторовна</w:t>
            </w:r>
            <w:r>
              <w:rPr>
                <w:rFonts w:ascii="Arial" w:cs="Arial" w:hAnsi="Arial" w:eastAsia="Arial"/>
                <w:color w:val="548dd4"/>
                <w:sz w:val="18"/>
                <w:szCs w:val="18"/>
                <w:u w:color="548dd4"/>
              </w:rPr>
            </w:r>
          </w:p>
        </w:tc>
        <w:tc>
          <w:tcPr>
            <w:tcW w:type="dxa" w:w="1147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Врач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стоматолог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 xml:space="preserve">- 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хирург</w:t>
            </w:r>
          </w:p>
        </w:tc>
        <w:tc>
          <w:tcPr>
            <w:tcW w:type="dxa" w:w="899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Высшая</w:t>
            </w:r>
          </w:p>
        </w:tc>
        <w:tc>
          <w:tcPr>
            <w:tcW w:type="dxa" w:w="1151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высшее</w:t>
            </w:r>
          </w:p>
        </w:tc>
        <w:tc>
          <w:tcPr>
            <w:tcW w:type="dxa" w:w="1408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Читинский Государственный медицинский институт</w:t>
            </w:r>
          </w:p>
        </w:tc>
        <w:tc>
          <w:tcPr>
            <w:tcW w:type="dxa" w:w="768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>1980</w:t>
            </w:r>
          </w:p>
        </w:tc>
        <w:tc>
          <w:tcPr>
            <w:tcW w:type="dxa" w:w="885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Стоматология</w:t>
            </w:r>
            <w:r>
              <w:rPr>
                <w:rFonts w:ascii="Arial" w:cs="Arial" w:hAnsi="Arial" w:eastAsia="Arial"/>
                <w:color w:val="548dd4"/>
                <w:sz w:val="18"/>
                <w:szCs w:val="18"/>
                <w:u w:color="548dd4"/>
              </w:rPr>
            </w:r>
          </w:p>
        </w:tc>
        <w:tc>
          <w:tcPr>
            <w:tcW w:type="dxa" w:w="1272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Врач</w:t>
            </w:r>
          </w:p>
        </w:tc>
        <w:tc>
          <w:tcPr>
            <w:tcW w:type="dxa" w:w="1161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>2015</w:t>
            </w:r>
          </w:p>
        </w:tc>
        <w:tc>
          <w:tcPr>
            <w:tcW w:type="dxa" w:w="1405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Стоматология хирургическая</w:t>
            </w:r>
          </w:p>
        </w:tc>
        <w:tc>
          <w:tcPr>
            <w:tcW w:type="dxa" w:w="3066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>"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 xml:space="preserve">Воспалительные процессы и травмы челюстно 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 xml:space="preserve">-  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 xml:space="preserve">лицевой области 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>", "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Хирургическая стоматология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 xml:space="preserve">", 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«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Актуальные вопросы хирургической стоматологии и имплантологии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>", "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Основы экспертизы временной нетрудоспособности и МСЭ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>", "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Основы пластической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реконструктивной и эстетической хирургии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>", "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Неотложные состояния в кресле стоматолога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>", "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 xml:space="preserve">Обучение по работе с программами 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en-US"/>
              </w:rPr>
              <w:t>Vatech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en-US"/>
              </w:rPr>
              <w:t>Ez3D2009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>/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en-US"/>
              </w:rPr>
              <w:t>Planmeca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 xml:space="preserve"> 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en-US"/>
              </w:rPr>
              <w:t>Romexis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 xml:space="preserve"> 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en-US"/>
              </w:rPr>
              <w:t>Viewer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 xml:space="preserve"> в сети независимых рентгендиагностических центров 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«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Пикассо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»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«Экспертиза временной нетрудоспособности»</w:t>
            </w:r>
          </w:p>
        </w:tc>
      </w:tr>
      <w:tr>
        <w:tblPrEx>
          <w:shd w:val="clear" w:color="auto" w:fill="ced7e7"/>
        </w:tblPrEx>
        <w:trPr>
          <w:trHeight w:val="3824" w:hRule="atLeast"/>
        </w:trPr>
        <w:tc>
          <w:tcPr>
            <w:tcW w:type="dxa" w:w="1404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Харина Диана Андреевна</w:t>
            </w:r>
            <w:r>
              <w:rPr>
                <w:rFonts w:ascii="Arial" w:cs="Arial" w:hAnsi="Arial" w:eastAsia="Arial"/>
                <w:color w:val="548dd4"/>
                <w:sz w:val="18"/>
                <w:szCs w:val="18"/>
                <w:u w:color="548dd4"/>
              </w:rPr>
            </w:r>
          </w:p>
        </w:tc>
        <w:tc>
          <w:tcPr>
            <w:tcW w:type="dxa" w:w="1147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Врач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стоматолог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 xml:space="preserve">- 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хирург</w:t>
            </w:r>
          </w:p>
        </w:tc>
        <w:tc>
          <w:tcPr>
            <w:tcW w:type="dxa" w:w="899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1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высшее</w:t>
            </w:r>
          </w:p>
        </w:tc>
        <w:tc>
          <w:tcPr>
            <w:tcW w:type="dxa" w:w="1408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Новгородский Государственный Университет им</w:t>
            </w: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Ярослава Мудрого</w:t>
            </w:r>
          </w:p>
        </w:tc>
        <w:tc>
          <w:tcPr>
            <w:tcW w:type="dxa" w:w="768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>2013</w:t>
            </w:r>
          </w:p>
        </w:tc>
        <w:tc>
          <w:tcPr>
            <w:tcW w:type="dxa" w:w="885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Стоматология</w:t>
            </w:r>
            <w:r>
              <w:rPr>
                <w:rFonts w:ascii="Arial" w:cs="Arial" w:hAnsi="Arial" w:eastAsia="Arial"/>
                <w:color w:val="548dd4"/>
                <w:sz w:val="18"/>
                <w:szCs w:val="18"/>
                <w:u w:color="548dd4"/>
              </w:rPr>
            </w:r>
          </w:p>
        </w:tc>
        <w:tc>
          <w:tcPr>
            <w:tcW w:type="dxa" w:w="1272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Врач</w:t>
            </w:r>
          </w:p>
        </w:tc>
        <w:tc>
          <w:tcPr>
            <w:tcW w:type="dxa" w:w="1161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/>
                <w:color w:val="548dd4"/>
                <w:sz w:val="18"/>
                <w:szCs w:val="18"/>
                <w:u w:color="548dd4"/>
                <w:rtl w:val="0"/>
                <w:lang w:val="ru-RU"/>
              </w:rPr>
              <w:t>2016</w:t>
            </w:r>
          </w:p>
        </w:tc>
        <w:tc>
          <w:tcPr>
            <w:tcW w:type="dxa" w:w="1405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5" w:after="15" w:line="240" w:lineRule="auto"/>
            </w:pPr>
            <w:r>
              <w:rPr>
                <w:rFonts w:ascii="Arial" w:hAnsi="Arial" w:hint="default"/>
                <w:color w:val="548dd4"/>
                <w:sz w:val="18"/>
                <w:szCs w:val="18"/>
                <w:u w:color="548dd4"/>
                <w:rtl w:val="0"/>
                <w:lang w:val="ru-RU"/>
              </w:rPr>
              <w:t>Стоматология хирургическая</w:t>
            </w:r>
          </w:p>
        </w:tc>
        <w:tc>
          <w:tcPr>
            <w:tcW w:type="dxa" w:w="3066"/>
            <w:tcBorders>
              <w:top w:val="single" w:color="b5b5b5" w:sz="6" w:space="0" w:shadow="0" w:frame="0"/>
              <w:left w:val="single" w:color="b5b5b5" w:sz="6" w:space="0" w:shadow="0" w:frame="0"/>
              <w:bottom w:val="single" w:color="b5b5b5" w:sz="6" w:space="0" w:shadow="0" w:frame="0"/>
              <w:right w:val="single" w:color="b5b5b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5" w:after="15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 xml:space="preserve">Базовый курс по имплантологии «Теоретические и практические основы успешного имплантирования и протезирования на основе системы   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Alpha-Bio Tec.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»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 xml:space="preserve">, 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«Традиционные заблуждения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 xml:space="preserve">, 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ошибки и осложнения в имплантации»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 xml:space="preserve">, VII 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Международная научно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-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практическая конференция по реконструктивной челюстно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-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лицевой хирургии и протезной реабилитации пациентов с заболеваниями и травмами челюстно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-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лицевой области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5" w:after="15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«Челюстно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-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лицевая реабилитация»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 xml:space="preserve">, 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48dd4"/>
                <w:spacing w:val="0"/>
                <w:kern w:val="0"/>
                <w:position w:val="0"/>
                <w:sz w:val="18"/>
                <w:szCs w:val="18"/>
                <w:u w:val="none" w:color="548dd4"/>
                <w:vertAlign w:val="baseline"/>
                <w:rtl w:val="0"/>
              </w:rPr>
              <w:t>«Экспертиза временной нетрудоспособности»</w:t>
            </w:r>
          </w:p>
        </w:tc>
      </w:tr>
    </w:tbl>
    <w:p>
      <w:pPr>
        <w:pStyle w:val="Текстовый блок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/>
    </w:p>
    <w:sectPr>
      <w:headerReference w:type="default" r:id="rId4"/>
      <w:footerReference w:type="default" r:id="rId5"/>
      <w:pgSz w:w="16840" w:h="11900" w:orient="landscape"/>
      <w:pgMar w:top="1701" w:right="1134" w:bottom="850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